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О реализации мероприятий, </w:t>
      </w:r>
    </w:p>
    <w:p>
      <w:pPr>
        <w:pStyle w:val="Normal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направленных на достижение показателя Б5 </w:t>
      </w:r>
    </w:p>
    <w:p>
      <w:pPr>
        <w:pStyle w:val="Normal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Национального рейтинга по улучшению </w:t>
      </w:r>
    </w:p>
    <w:p>
      <w:pPr>
        <w:pStyle w:val="Normal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инвестиционного климата по направлению «Экспорт» в Камчатском крае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целях улучшения Национального рейтинга состояния инвестиционного климата по направлению «Экспорт» в Камчатском крае с февраля 2022 года осуществляет деятельность </w:t>
      </w:r>
      <w:r>
        <w:rPr>
          <w:rFonts w:eastAsia="XO Thames" w:ascii="Times New Roman" w:hAnsi="Times New Roman" w:eastAsiaTheme="minorHAnsi"/>
          <w:lang w:eastAsia="en-US"/>
        </w:rPr>
        <w:t>Рабочая группа, состав которой на 70 % включает представителей бизнес-</w:t>
      </w:r>
      <w:r>
        <w:rPr>
          <w:rFonts w:ascii="Times New Roman" w:hAnsi="Times New Roman"/>
        </w:rPr>
        <w:t xml:space="preserve">сообщества из числа экспортеров и экспортно-ориентированных предприятий. </w:t>
      </w:r>
    </w:p>
    <w:p>
      <w:pPr>
        <w:pStyle w:val="Normal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Заседания Рабочей группы проводятся ежемесячно, председатель министр туризма Камчатского края. Мероприятия проходят на площадке </w:t>
      </w:r>
      <w:hyperlink r:id="rId2">
        <w:r>
          <w:rPr>
            <w:rFonts w:ascii="Times New Roman" w:hAnsi="Times New Roman"/>
          </w:rPr>
          <w:t>«Мой Бизнес»</w:t>
        </w:r>
      </w:hyperlink>
      <w:r>
        <w:rPr>
          <w:rFonts w:ascii="Times New Roman" w:hAnsi="Times New Roman"/>
        </w:rPr>
        <w:t> при поддержке </w:t>
      </w:r>
      <w:hyperlink r:id="rId3">
        <w:r>
          <w:rPr>
            <w:rFonts w:ascii="Times New Roman" w:hAnsi="Times New Roman"/>
          </w:rPr>
          <w:t>Торгово-промышленной палаты Камчатского края</w:t>
        </w:r>
      </w:hyperlink>
      <w:r>
        <w:rPr>
          <w:rFonts w:ascii="Times New Roman" w:hAnsi="Times New Roman"/>
        </w:rPr>
        <w:t xml:space="preserve">. </w:t>
      </w:r>
    </w:p>
    <w:p>
      <w:pPr>
        <w:pStyle w:val="Normal"/>
        <w:ind w:firstLine="708"/>
        <w:rPr>
          <w:rFonts w:ascii="Times New Roman" w:hAnsi="Times New Roman" w:eastAsia="XO Thames" w:eastAsiaTheme="minorHAnsi"/>
          <w:lang w:eastAsia="en-US"/>
        </w:rPr>
      </w:pPr>
      <w:r>
        <w:rPr>
          <w:rFonts w:ascii="Times New Roman" w:hAnsi="Times New Roman"/>
        </w:rPr>
        <w:t>По состоянию на 14.11.2023 г. проведено 10 рабочих групп по экспорту. Очередные рабочие группы уже запланированы на 30.11</w:t>
      </w:r>
      <w:r>
        <w:rPr>
          <w:rFonts w:eastAsia="XO Thames" w:ascii="Times New Roman" w:hAnsi="Times New Roman" w:eastAsiaTheme="minorHAnsi"/>
          <w:lang w:eastAsia="en-US"/>
        </w:rPr>
        <w:t xml:space="preserve">.2023 г. и 22.12.2023 г. </w:t>
      </w:r>
    </w:p>
    <w:p>
      <w:pPr>
        <w:pStyle w:val="Normal"/>
        <w:ind w:firstLine="708"/>
        <w:rPr>
          <w:rFonts w:ascii="Times New Roman" w:hAnsi="Times New Roman" w:eastAsia="XO Thames" w:eastAsiaTheme="minorHAnsi"/>
          <w:lang w:eastAsia="en-US"/>
        </w:rPr>
      </w:pPr>
      <w:r>
        <w:rPr>
          <w:rFonts w:eastAsia="XO Thames" w:ascii="Times New Roman" w:hAnsi="Times New Roman" w:eastAsiaTheme="minorHAnsi"/>
          <w:lang w:eastAsia="en-US"/>
        </w:rPr>
        <w:t>С января 2023 года изменен формат проведения заседаний Рабочей группы. Раз в квартал заседания проводятся в формате презентации экспортно-ориентированных товаров и услуг. Члены рабочей группы презентуют новинки продукции, проводятся обсуждения потенциальных зарубежных рынков сбыта, мероприятий, необходимых для продвижения товаров и услуг в зарубежных странах, основных барьеров и путей их преодоления.</w:t>
      </w:r>
    </w:p>
    <w:p>
      <w:pPr>
        <w:pStyle w:val="Normal"/>
        <w:ind w:firstLine="708"/>
        <w:rPr>
          <w:rFonts w:ascii="Times New Roman" w:hAnsi="Times New Roman" w:eastAsia="XO Thames" w:eastAsiaTheme="minorHAnsi"/>
          <w:lang w:eastAsia="en-US"/>
        </w:rPr>
      </w:pPr>
      <w:r>
        <w:rPr>
          <w:rFonts w:eastAsia="XO Thames" w:ascii="Times New Roman" w:hAnsi="Times New Roman" w:eastAsiaTheme="minorHAnsi"/>
          <w:lang w:eastAsia="en-US"/>
        </w:rPr>
        <w:t>В ходе заседаний обсуждаются вопросы, которые входят в критерии по оценки показателя Б5 – оценка эффективности работы центра поддержки экспорта, такие как:</w:t>
      </w:r>
    </w:p>
    <w:p>
      <w:pPr>
        <w:pStyle w:val="Normal"/>
        <w:ind w:firstLine="708"/>
        <w:rPr>
          <w:rFonts w:ascii="Times New Roman" w:hAnsi="Times New Roman" w:eastAsia="XO Thames" w:eastAsiaTheme="minorHAnsi"/>
          <w:lang w:eastAsia="en-US"/>
        </w:rPr>
      </w:pPr>
      <w:r>
        <w:rPr>
          <w:rFonts w:eastAsia="XO Thames" w:ascii="Times New Roman" w:hAnsi="Times New Roman" w:eastAsiaTheme="minorHAnsi"/>
          <w:lang w:eastAsia="en-US"/>
        </w:rPr>
        <w:t xml:space="preserve">- организации бизнес-миссий в зарубежные страны; </w:t>
      </w:r>
    </w:p>
    <w:p>
      <w:pPr>
        <w:pStyle w:val="Normal"/>
        <w:ind w:firstLine="708"/>
        <w:rPr>
          <w:rFonts w:ascii="Times New Roman" w:hAnsi="Times New Roman" w:eastAsia="XO Thames" w:eastAsiaTheme="minorHAnsi"/>
          <w:lang w:eastAsia="en-US"/>
        </w:rPr>
      </w:pPr>
      <w:r>
        <w:rPr>
          <w:rFonts w:eastAsia="XO Thames" w:ascii="Times New Roman" w:hAnsi="Times New Roman" w:eastAsiaTheme="minorHAnsi"/>
          <w:lang w:eastAsia="en-US"/>
        </w:rPr>
        <w:t xml:space="preserve">- участия в международных конгрессно-выставочных и ярмарочных мероприятиях; </w:t>
      </w:r>
    </w:p>
    <w:p>
      <w:pPr>
        <w:pStyle w:val="Normal"/>
        <w:ind w:firstLine="708"/>
        <w:rPr>
          <w:rFonts w:ascii="Times New Roman" w:hAnsi="Times New Roman" w:eastAsia="XO Thames" w:eastAsiaTheme="minorHAnsi"/>
          <w:lang w:eastAsia="en-US"/>
        </w:rPr>
      </w:pPr>
      <w:r>
        <w:rPr>
          <w:rFonts w:eastAsia="XO Thames" w:ascii="Times New Roman" w:hAnsi="Times New Roman" w:eastAsiaTheme="minorHAnsi"/>
          <w:lang w:eastAsia="en-US"/>
        </w:rPr>
        <w:t xml:space="preserve">- обеспечения поддержки в поиске иностранных партнеров; </w:t>
      </w:r>
    </w:p>
    <w:p>
      <w:pPr>
        <w:pStyle w:val="Normal"/>
        <w:ind w:firstLine="708"/>
        <w:rPr>
          <w:rFonts w:ascii="Times New Roman" w:hAnsi="Times New Roman" w:eastAsia="XO Thames" w:eastAsiaTheme="minorHAnsi"/>
          <w:lang w:eastAsia="en-US"/>
        </w:rPr>
      </w:pPr>
      <w:r>
        <w:rPr>
          <w:rFonts w:eastAsia="XO Thames" w:ascii="Times New Roman" w:hAnsi="Times New Roman" w:eastAsiaTheme="minorHAnsi"/>
          <w:lang w:eastAsia="en-US"/>
        </w:rPr>
        <w:t>- механизмы продвижения товаров и услуг на рынки дружественных стран, особенности организации валютных взаиморасчетов с дружественными странами, основные меры поддержки экспортерам и экспортно-ориентированным предприятиям и т.д.</w:t>
      </w:r>
    </w:p>
    <w:p>
      <w:pPr>
        <w:pStyle w:val="Normal"/>
        <w:ind w:firstLine="708"/>
        <w:rPr>
          <w:rFonts w:ascii="Times New Roman" w:hAnsi="Times New Roman" w:eastAsia="XO Thames" w:eastAsiaTheme="minorHAnsi"/>
          <w:lang w:eastAsia="en-US"/>
        </w:rPr>
      </w:pPr>
      <w:r>
        <w:rPr>
          <w:rFonts w:eastAsia="XO Thames" w:ascii="Times New Roman" w:hAnsi="Times New Roman" w:eastAsiaTheme="minorHAnsi"/>
          <w:lang w:eastAsia="en-US"/>
        </w:rPr>
        <w:t xml:space="preserve">С целью продвижения экспорта товаров и услуг Камчатского края, улучшения инвестиционного климата, совместно с членами Рабочей группы сформирована и утверждена Дорожная карта «Диверсификация экспорта в дружественные страны, системные меры по борьбе с ограничениями». По каждому критерию показателя Б5 установлены количественные показатели. </w:t>
      </w:r>
    </w:p>
    <w:p>
      <w:pPr>
        <w:pStyle w:val="Normal"/>
        <w:ind w:firstLine="708"/>
        <w:rPr>
          <w:rFonts w:ascii="Times New Roman" w:hAnsi="Times New Roman" w:eastAsia="XO Thames" w:eastAsiaTheme="minorHAnsi"/>
          <w:lang w:eastAsia="en-US"/>
        </w:rPr>
      </w:pPr>
      <w:r>
        <w:rPr>
          <w:rFonts w:eastAsia="XO Thames" w:ascii="Times New Roman" w:hAnsi="Times New Roman" w:eastAsiaTheme="minorHAnsi"/>
          <w:lang w:eastAsia="en-US"/>
        </w:rPr>
        <w:t xml:space="preserve">В рамках исполнения мероприятий Дорожной карты за отчетный период 2023 года осуществляется регулярное информирование </w:t>
      </w:r>
      <w:r>
        <w:rPr>
          <w:rFonts w:ascii="Times New Roman" w:hAnsi="Times New Roman"/>
        </w:rPr>
        <w:t xml:space="preserve">бизнес-сообщества региона об основных мероприятиях, направленных на поддержку и развитие внешнеэкономической деятельности. Так, за отчетный период размещено 253 публикации. </w:t>
      </w:r>
    </w:p>
    <w:p>
      <w:pPr>
        <w:pStyle w:val="Normal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Повышение удовлетворенности экспортеров мерами государственной поддержки является не только целью деятельности Центра поддержки экспорта Камчатского края, но и напрямую влияет на место региона в Национальном рейтинге состояния инвестиционного климата, разработанного Агентством стратегических инициатив. </w:t>
      </w:r>
    </w:p>
    <w:p>
      <w:pPr>
        <w:pStyle w:val="Normal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июле этого года состоялась встреча с представителями АСИ, по итогам которой, центром были направлены предложения по актуализации методик расчета показателей нац.рейтинга к опросной анкете «Оценка эффективности центров поддержки экспорта». Представители АСИ наши предложения вынесли на Заседание Экспертного Совета, и обратную связь ожидаем в конце ноября этого года. </w:t>
      </w:r>
    </w:p>
    <w:p>
      <w:pPr>
        <w:pStyle w:val="Normal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В рамках мероприятий, направленных на поиск потенциальных партнеров в зарубежных странах: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организована презентация Камчатского края в МИД России, в рамках которой партнерам из дружественных стран был презентован экспортный, инвестиционный и туристический потенциал Камчатского края, национальные и культурные особенности региона;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 организована видеоконференция с представителем АО «РЭЦ» в ОАЭ по вопросу экспорта продукции (фитосборы, косметика для тела);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организованы видеоконференции Час с торговым представителем РФ в Корее и во Вьетнаме; 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организованы переговоры между предприятиями Камчатского края, осуществляющими деятельность в сфере рыбной промышленности, транспортно-логистического комплекса, горнодобывающей отрасли, розничной торговли, пищевой и перерабатывающей промышленности с представителями делегаций из зарубежных стран, посетивших Камчатский край (Китайская Народная Республика, Республика Перу, Республика Беларусь);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организованы и проведены две реверсных бизнес-миссии из Республика Беларусь. 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Участие предпринимателей в мероприятиях, программах и инициативах, направленных на развитие экспортного потенциала региона, являются важными для благоприятного инвестиционного климата. И это способствует к вовлечению в экспортную деятельность.</w:t>
      </w:r>
    </w:p>
    <w:p>
      <w:pPr>
        <w:pStyle w:val="Normal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Так, Центр поддержки экспорта,  оказывал прямое содействие в организации переговоров с предпринимателями Камчатского края различных отраслей председатель правления </w:t>
      </w:r>
      <w:hyperlink r:id="rId4">
        <w:r>
          <w:rPr>
            <w:rFonts w:ascii="Times New Roman" w:hAnsi="Times New Roman"/>
          </w:rPr>
          <w:t>«Корпорации Кахатт Ваккари»</w:t>
        </w:r>
      </w:hyperlink>
      <w:r>
        <w:rPr>
          <w:rFonts w:ascii="Times New Roman" w:hAnsi="Times New Roman"/>
        </w:rPr>
        <w:t> (“Corporacion Kajatt Vaccari” (г. Лимна, Перу)) Франсиско Ваккари. Предприниматель прибыл в регион совместно с Чрезвычайным и Полномочным Послом Республики Перу в РФ и принял участие в мероприятиях Всероссийского молодёжного экологического форума </w:t>
      </w:r>
      <w:hyperlink r:id="rId5">
        <w:r>
          <w:rPr>
            <w:rFonts w:ascii="Times New Roman" w:hAnsi="Times New Roman"/>
          </w:rPr>
          <w:t>«Экосистема. Заповедный край»</w:t>
        </w:r>
      </w:hyperlink>
      <w:r>
        <w:rPr>
          <w:rFonts w:ascii="Times New Roman" w:hAnsi="Times New Roman"/>
        </w:rPr>
        <w:t>, а также посетил «Гастрокэпм Камчатка – 2023».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мероприятия «Гастрокэмп Камчатка», Центром была разработана для платформы «Смартека» успешная практика – Проект «Гастрокэмп Камчатка», с целью дальнейшего масштабирования проекта, т.к. проект получил уже уровень международный (были привлечены шеф-повара с других иностранных государств). 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сентябре 2023 г. Центром было оказано содействие в привлечении на конкурсный отбор участников для Восточном Экономическом Форуме, который ежегодно проводится в г. Владивосток. Так, в результате конкурсного отбора, на Восточном Экономическом Форуме были представлены 5 компаний, которые являются экспортно ориентированными получателями услуг Центра. По итогам работы на форуме, предприниматели продал сувенирную продукцию в страны Китая, Австралии, Малайзии, Республики Беларусь. 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плана мероприятий на 2023 г. и Дорожной карты по улучшению инвестиционного климата, Центром организованы обучающие мероприятия на площадке Школы экспорта РЭЦ для действующих и потенциальных экспортеров Камчатского края (по состоянию на 14.11.2023 г. проведено 10 вебинаров из 11). 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продвижения товаров и услуг на внешнем рынке через каналы электронной торговли в отчетном периоде размещено 5 компании на площадке LiveMaster.ru. (Ярмарка мастеров). 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Центром поддержки экспорта, в рамках </w:t>
      </w:r>
      <w:r>
        <w:rPr>
          <w:rFonts w:eastAsia="XO Thames" w:ascii="Times New Roman" w:hAnsi="Times New Roman" w:eastAsiaTheme="minorHAnsi"/>
          <w:lang w:eastAsia="en-US"/>
        </w:rPr>
        <w:t>участия в международных конгрессно-выставочных и ярмарочных мероприятиях</w:t>
      </w:r>
      <w:r>
        <w:rPr>
          <w:rFonts w:ascii="Times New Roman" w:hAnsi="Times New Roman"/>
        </w:rPr>
        <w:t xml:space="preserve"> организовано участие региона в: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 в международной туристической выставке CITIE-GD (15-17 сентября 2023 г.) для 8-ми компаний тур.отрасли;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 на международной выставке SEAFOOD EXPO RUSSIA (27-29 сентября 2023 г.) для 5-ти рыбных компаний;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 международной выставке «China fisheries SeaFood2023» (25-27 октября 2023 г.). В данной выставке приняли участие 6 компаний. 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 эти меры могут помочь повлиять на критерии оценки инвестиционного климата в Камчатском крае по экспорту, а также, созданию позитивного делового климата в регионе. 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Кроме того, важно развивать и улучшать условия для экспорта продукции и услуг региона. Совершенствовать и улучшать качество предоставляемых услуг получателям. Так, АО «РЭЦ» на регулярной основе проводит опрос NPS – индексы потребительской лояльности, характеризующие качество работы региональных центров поддержки экспорта. </w:t>
      </w:r>
    </w:p>
    <w:p>
      <w:pPr>
        <w:pStyle w:val="Normal"/>
        <w:ind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За 8 месяцев 2023 года РЭЦ направлены анкеты 19 097 субъектам МСП, получившим услуги ЦПЭ за период с 1 декабря 2022 года по 31 августа 2023 года. По итогам опросов получена оценка качества работы ЦПЭ от 1924 субъектов МСП. </w:t>
      </w:r>
    </w:p>
    <w:p>
      <w:pPr>
        <w:pStyle w:val="Normal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Так, по итогам работы 8 месяцев, получены следующие итоги: 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индексы (индекс потребительской лояльности (NPS) = 86,7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индекс удовлетворенности результатом оказанных услуг (CSI) = 96,0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индекс трудозатрат клиентов при получении услуг  (CES) = 93,3.</w:t>
      </w:r>
    </w:p>
    <w:p>
      <w:pPr>
        <w:pStyle w:val="Normal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Для подсчета индексов, предпринимателям задаются несколько вопросов: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«Получала ли ваша компания за последние пол года услуги ЦПЭ?», где ответ определяется «Да» или «Нет»;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«Насколько трудозатратно было получить услуги ЦПЭ?», где ответ принимается</w:t>
      </w:r>
      <w:r>
        <w:rPr>
          <w:rFonts w:ascii="Times New Roman" w:hAnsi="Times New Roman"/>
          <w:szCs w:val="28"/>
        </w:rPr>
        <w:t xml:space="preserve"> по бальной шкале – от 0 до 5. Где, соответственно, 0 баллов – «очень трудозатратно», а 5  – «очень легко». 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>«Оцените качество оказываемых услуг ЦПЭ», где ответ принимается</w:t>
      </w:r>
      <w:r>
        <w:rPr>
          <w:rFonts w:ascii="Times New Roman" w:hAnsi="Times New Roman"/>
          <w:szCs w:val="28"/>
        </w:rPr>
        <w:t xml:space="preserve"> по бальной шкале – от 0 до 10. Где, соответственно, ноль балл – «точно не порекомендую». Десять баллов – максимально удовлетворены.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«Выберите наиболее важный параметр» из трех предложенных: «Оцените качество сопровождения оказания услуг»; </w:t>
      </w:r>
      <w:r>
        <w:rPr>
          <w:rFonts w:ascii="Times New Roman" w:hAnsi="Times New Roman"/>
        </w:rPr>
        <w:t>«удовлетворенность результатом»; «соответствие ожиданиям».</w:t>
      </w:r>
    </w:p>
    <w:p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«Оцените по шкале от 0 до 10, с какой вероятностью Вы порекомендуете коллегам или партнерам региональный ЦПЭ?», где 1 – очень плохо, а 10 – идеально. </w:t>
      </w:r>
    </w:p>
    <w:p>
      <w:pPr>
        <w:pStyle w:val="Normal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настоящий момент полученные результаты носят предварительный характер, так как количество оценок всего 30 (и данные находятся в стадии накопления). </w:t>
      </w:r>
    </w:p>
    <w:p>
      <w:pPr>
        <w:pStyle w:val="Normal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Более объективная оценка качества работы ЦПЭ будет получена по итогам 2023 года.</w:t>
      </w:r>
    </w:p>
    <w:p>
      <w:pPr>
        <w:pStyle w:val="Normal"/>
        <w:rPr>
          <w:rFonts w:ascii="Times New Roman" w:hAnsi="Times New Roman"/>
        </w:rPr>
      </w:pPr>
      <w:r>
        <w:rPr/>
      </w:r>
    </w:p>
    <w:sectPr>
      <w:type w:val="nextPage"/>
      <w:pgSz w:w="11906" w:h="16838"/>
      <w:pgMar w:left="1304" w:right="737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XO Thames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XO Thames" w:hAnsi="XO Thames" w:eastAsia="Times New Roman" w:cs="Times New Roman"/>
        <w:color w:val="000000"/>
        <w:sz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link w:val="11"/>
    <w:qFormat/>
    <w:pPr>
      <w:widowControl/>
      <w:bidi w:val="0"/>
      <w:spacing w:before="0" w:after="0"/>
      <w:jc w:val="both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">
    <w:name w:val="Heading 1"/>
    <w:next w:val="Normal"/>
    <w:link w:val="12"/>
    <w:uiPriority w:val="9"/>
    <w:qFormat/>
    <w:pPr>
      <w:widowControl/>
      <w:bidi w:val="0"/>
      <w:spacing w:before="120" w:after="120"/>
      <w:jc w:val="both"/>
      <w:outlineLvl w:val="0"/>
    </w:pPr>
    <w:rPr>
      <w:rFonts w:ascii="XO Thames" w:hAnsi="XO Thames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2">
    <w:name w:val="Heading 2"/>
    <w:next w:val="Normal"/>
    <w:link w:val="22"/>
    <w:uiPriority w:val="9"/>
    <w:qFormat/>
    <w:pPr>
      <w:widowControl/>
      <w:bidi w:val="0"/>
      <w:spacing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3">
    <w:name w:val="Heading 3"/>
    <w:next w:val="Normal"/>
    <w:link w:val="31"/>
    <w:uiPriority w:val="9"/>
    <w:qFormat/>
    <w:pPr>
      <w:widowControl/>
      <w:bidi w:val="0"/>
      <w:spacing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4">
    <w:name w:val="Heading 4"/>
    <w:next w:val="Normal"/>
    <w:link w:val="42"/>
    <w:uiPriority w:val="9"/>
    <w:qFormat/>
    <w:pPr>
      <w:widowControl/>
      <w:bidi w:val="0"/>
      <w:spacing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5">
    <w:name w:val="Heading 5"/>
    <w:next w:val="Normal"/>
    <w:link w:val="51"/>
    <w:uiPriority w:val="9"/>
    <w:qFormat/>
    <w:pPr>
      <w:widowControl/>
      <w:bidi w:val="0"/>
      <w:spacing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Обычный1"/>
    <w:qFormat/>
    <w:rPr>
      <w:rFonts w:ascii="XO Thames" w:hAnsi="XO Thames"/>
      <w:sz w:val="28"/>
    </w:rPr>
  </w:style>
  <w:style w:type="character" w:styleId="21" w:customStyle="1">
    <w:name w:val="Оглавление 2 Знак"/>
    <w:qFormat/>
    <w:rPr>
      <w:rFonts w:ascii="XO Thames" w:hAnsi="XO Thames"/>
      <w:sz w:val="28"/>
    </w:rPr>
  </w:style>
  <w:style w:type="character" w:styleId="41" w:customStyle="1">
    <w:name w:val="Оглавление 4 Знак"/>
    <w:qFormat/>
    <w:rPr>
      <w:rFonts w:ascii="XO Thames" w:hAnsi="XO Thames"/>
      <w:sz w:val="28"/>
    </w:rPr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31" w:customStyle="1">
    <w:name w:val="Заголовок 3 Знак"/>
    <w:qFormat/>
    <w:rPr>
      <w:rFonts w:ascii="XO Thames" w:hAnsi="XO Thames"/>
      <w:b/>
      <w:sz w:val="26"/>
    </w:rPr>
  </w:style>
  <w:style w:type="character" w:styleId="32" w:customStyle="1">
    <w:name w:val="Оглавление 3 Знак"/>
    <w:qFormat/>
    <w:rPr>
      <w:rFonts w:ascii="XO Thames" w:hAnsi="XO Thames"/>
      <w:sz w:val="28"/>
    </w:rPr>
  </w:style>
  <w:style w:type="character" w:styleId="51" w:customStyle="1">
    <w:name w:val="Заголовок 5 Знак"/>
    <w:qFormat/>
    <w:rPr>
      <w:rFonts w:ascii="XO Thames" w:hAnsi="XO Thames"/>
      <w:b/>
      <w:sz w:val="22"/>
    </w:rPr>
  </w:style>
  <w:style w:type="character" w:styleId="12" w:customStyle="1">
    <w:name w:val="Заголовок 1 Знак"/>
    <w:qFormat/>
    <w:rPr>
      <w:rFonts w:ascii="XO Thames" w:hAnsi="XO Thames"/>
      <w:b/>
      <w:sz w:val="32"/>
    </w:rPr>
  </w:style>
  <w:style w:type="character" w:styleId="-">
    <w:name w:val="Hyperlink"/>
    <w:link w:val="14"/>
    <w:uiPriority w:val="99"/>
    <w:rPr>
      <w:color w:val="0000FF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13" w:customStyle="1">
    <w:name w:val="Оглавление 1 Знак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2" w:customStyle="1">
    <w:name w:val="Оглавление 5 Знак"/>
    <w:qFormat/>
    <w:rPr>
      <w:rFonts w:ascii="XO Thames" w:hAnsi="XO Thames"/>
      <w:sz w:val="28"/>
    </w:rPr>
  </w:style>
  <w:style w:type="character" w:styleId="Style9" w:customStyle="1">
    <w:name w:val="Подзаголовок Знак"/>
    <w:qFormat/>
    <w:rPr>
      <w:rFonts w:ascii="XO Thames" w:hAnsi="XO Thames"/>
      <w:i/>
      <w:sz w:val="24"/>
    </w:rPr>
  </w:style>
  <w:style w:type="character" w:styleId="Style10" w:customStyle="1">
    <w:name w:val="Заголовок Знак"/>
    <w:qFormat/>
    <w:rPr>
      <w:rFonts w:ascii="XO Thames" w:hAnsi="XO Thames"/>
      <w:b/>
      <w:caps/>
      <w:sz w:val="40"/>
    </w:rPr>
  </w:style>
  <w:style w:type="character" w:styleId="42" w:customStyle="1">
    <w:name w:val="Заголовок 4 Знак"/>
    <w:qFormat/>
    <w:rPr>
      <w:rFonts w:ascii="XO Thames" w:hAnsi="XO Thames"/>
      <w:b/>
      <w:sz w:val="24"/>
    </w:rPr>
  </w:style>
  <w:style w:type="character" w:styleId="22" w:customStyle="1">
    <w:name w:val="Заголовок 2 Знак"/>
    <w:qFormat/>
    <w:rPr>
      <w:rFonts w:ascii="XO Thames" w:hAnsi="XO Thames"/>
      <w:b/>
      <w:sz w:val="28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cs="Lucida Sans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23">
    <w:name w:val="TOC 2"/>
    <w:next w:val="Normal"/>
    <w:link w:val="21"/>
    <w:uiPriority w:val="39"/>
    <w:pPr>
      <w:widowControl/>
      <w:bidi w:val="0"/>
      <w:spacing w:before="0" w:after="0"/>
      <w:ind w:left="2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43">
    <w:name w:val="TOC 4"/>
    <w:next w:val="Normal"/>
    <w:link w:val="41"/>
    <w:uiPriority w:val="39"/>
    <w:pPr>
      <w:widowControl/>
      <w:bidi w:val="0"/>
      <w:spacing w:before="0" w:after="0"/>
      <w:ind w:left="6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61">
    <w:name w:val="TOC 6"/>
    <w:next w:val="Normal"/>
    <w:link w:val="6"/>
    <w:uiPriority w:val="39"/>
    <w:pPr>
      <w:widowControl/>
      <w:bidi w:val="0"/>
      <w:spacing w:before="0" w:after="0"/>
      <w:ind w:left="10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71">
    <w:name w:val="TOC 7"/>
    <w:next w:val="Normal"/>
    <w:link w:val="7"/>
    <w:uiPriority w:val="39"/>
    <w:pPr>
      <w:widowControl/>
      <w:bidi w:val="0"/>
      <w:spacing w:before="0" w:after="0"/>
      <w:ind w:left="12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Endnote1" w:customStyle="1">
    <w:name w:val="Endnote"/>
    <w:link w:val="Endnote"/>
    <w:qFormat/>
    <w:pPr>
      <w:widowControl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33">
    <w:name w:val="TOC 3"/>
    <w:next w:val="Normal"/>
    <w:link w:val="32"/>
    <w:uiPriority w:val="39"/>
    <w:pPr>
      <w:widowControl/>
      <w:bidi w:val="0"/>
      <w:spacing w:before="0" w:after="0"/>
      <w:ind w:left="4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4" w:customStyle="1">
    <w:name w:val="Гиперссылка1"/>
    <w:qFormat/>
    <w:pPr>
      <w:widowControl/>
      <w:bidi w:val="0"/>
      <w:spacing w:before="0" w:after="0"/>
      <w:jc w:val="left"/>
    </w:pPr>
    <w:rPr>
      <w:rFonts w:ascii="XO Thames" w:hAnsi="XO Thames" w:eastAsia="Times New Roman" w:cs="Times New Roman"/>
      <w:color w:val="0000FF"/>
      <w:kern w:val="0"/>
      <w:sz w:val="24"/>
      <w:szCs w:val="20"/>
      <w:u w:val="single"/>
      <w:lang w:val="ru-RU" w:eastAsia="ru-RU" w:bidi="ar-SA"/>
    </w:rPr>
  </w:style>
  <w:style w:type="paragraph" w:styleId="Footnote1" w:customStyle="1">
    <w:name w:val="Footnote"/>
    <w:link w:val="Footnote"/>
    <w:qFormat/>
    <w:pPr>
      <w:widowControl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15">
    <w:name w:val="TOC 1"/>
    <w:next w:val="Normal"/>
    <w:link w:val="13"/>
    <w:uiPriority w:val="39"/>
    <w:pPr>
      <w:widowControl/>
      <w:bidi w:val="0"/>
      <w:spacing w:before="0" w:after="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Style16" w:customStyle="1">
    <w:name w:val="Колонтитул"/>
    <w:qFormat/>
    <w:pPr>
      <w:widowControl/>
      <w:bidi w:val="0"/>
      <w:spacing w:before="0" w:after="0"/>
      <w:jc w:val="both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91">
    <w:name w:val="TOC 9"/>
    <w:next w:val="Normal"/>
    <w:link w:val="9"/>
    <w:uiPriority w:val="39"/>
    <w:pPr>
      <w:widowControl/>
      <w:bidi w:val="0"/>
      <w:spacing w:before="0" w:after="0"/>
      <w:ind w:left="16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81">
    <w:name w:val="TOC 8"/>
    <w:next w:val="Normal"/>
    <w:link w:val="8"/>
    <w:uiPriority w:val="39"/>
    <w:pPr>
      <w:widowControl/>
      <w:bidi w:val="0"/>
      <w:spacing w:before="0" w:after="0"/>
      <w:ind w:left="14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53">
    <w:name w:val="TOC 5"/>
    <w:next w:val="Normal"/>
    <w:link w:val="52"/>
    <w:uiPriority w:val="39"/>
    <w:pPr>
      <w:widowControl/>
      <w:bidi w:val="0"/>
      <w:spacing w:before="0" w:after="0"/>
      <w:ind w:left="800" w:hanging="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17">
    <w:name w:val="Subtitle"/>
    <w:next w:val="Normal"/>
    <w:link w:val="Style9"/>
    <w:uiPriority w:val="11"/>
    <w:qFormat/>
    <w:pPr>
      <w:widowControl/>
      <w:bidi w:val="0"/>
      <w:spacing w:before="0" w:after="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Style18">
    <w:name w:val="Title"/>
    <w:next w:val="Normal"/>
    <w:link w:val="Style10"/>
    <w:uiPriority w:val="10"/>
    <w:qFormat/>
    <w:pPr>
      <w:widowControl/>
      <w:bidi w:val="0"/>
      <w:spacing w:before="567" w:after="567"/>
      <w:jc w:val="center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db4b28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xn--41-9kcqjffxnf3b.xn--p1ai/" TargetMode="External"/><Relationship Id="rId3" Type="http://schemas.openxmlformats.org/officeDocument/2006/relationships/hyperlink" Target="http://kamchatka.tpprf.ru/ru/" TargetMode="External"/><Relationship Id="rId4" Type="http://schemas.openxmlformats.org/officeDocument/2006/relationships/hyperlink" Target="http://corpkv.com/Rusia-Ru/corporacion/" TargetMode="External"/><Relationship Id="rId5" Type="http://schemas.openxmlformats.org/officeDocument/2006/relationships/hyperlink" Target="http://xn--41-6kctolqn1abl0k.xn--p1ai/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765C-EE9E-4FF5-8C7B-527C12E0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LibreOffice/7.5.3.2$Windows_X86_64 LibreOffice_project/9f56dff12ba03b9acd7730a5a481eea045e468f3</Application>
  <AppVersion>15.0000</AppVersion>
  <Pages>2</Pages>
  <Words>1088</Words>
  <Characters>7563</Characters>
  <CharactersWithSpaces>8644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2023-11-10T02:35:00Z</dcterms:created>
  <dc:creator>Татьяна Ломова</dc:creator>
  <dc:description/>
  <dc:language>ru-RU</dc:language>
  <cp:lastModifiedBy>Татьяна Ломова</cp:lastModifiedBy>
  <dcterms:modified xsi:type="dcterms:W3CDTF">2023-11-10T04:48:00Z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